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FE" w:rsidRDefault="00564CFE" w:rsidP="00564CFE">
      <w:pPr>
        <w:pStyle w:val="Title"/>
      </w:pPr>
      <w:r>
        <w:t>SSR Program</w:t>
      </w:r>
    </w:p>
    <w:p w:rsidR="00564CFE" w:rsidRDefault="00564CFE" w:rsidP="00564CFE">
      <w:pPr>
        <w:pStyle w:val="Subtitle"/>
      </w:pPr>
      <w:r>
        <w:t xml:space="preserve">Ms. </w:t>
      </w:r>
      <w:proofErr w:type="spellStart"/>
      <w:r w:rsidR="00A50915">
        <w:t>Lagomarsino</w:t>
      </w:r>
      <w:proofErr w:type="spellEnd"/>
    </w:p>
    <w:p w:rsidR="00564CFE" w:rsidRDefault="00564CFE" w:rsidP="00564CFE">
      <w:pPr>
        <w:pStyle w:val="BodyText"/>
      </w:pPr>
      <w:r>
        <w:t xml:space="preserve">Various studies have shown that reading on a regular basis not only broadens readers’ knowledge, but also improves their vocabularies and enhances their writing skills.  Because I want you to reap those same benefits and to know the rewards of reading, you will participate in the Sustained Silent Reading Program with “outside reading” each </w:t>
      </w:r>
      <w:r w:rsidR="003D427B">
        <w:t>nine</w:t>
      </w:r>
      <w:r>
        <w:t xml:space="preserve"> weeks.  Following is a description of the SSR Program.</w:t>
      </w:r>
      <w:r w:rsidR="009E7178">
        <w:t xml:space="preserve">  Need ideas on what to read?  See the attached list of “100 books to read”.</w:t>
      </w:r>
      <w:r w:rsidR="00ED7150">
        <w:br/>
      </w:r>
    </w:p>
    <w:p w:rsidR="00564CFE" w:rsidRPr="00B817F4" w:rsidRDefault="00564CFE" w:rsidP="00564CFE">
      <w:pPr>
        <w:rPr>
          <w:b/>
          <w:sz w:val="24"/>
          <w:u w:val="single"/>
        </w:rPr>
      </w:pPr>
      <w:r w:rsidRPr="00B817F4">
        <w:rPr>
          <w:b/>
          <w:sz w:val="24"/>
          <w:u w:val="single"/>
        </w:rPr>
        <w:t>Requirements:</w:t>
      </w:r>
    </w:p>
    <w:p w:rsidR="00ED7150" w:rsidRDefault="00ED7150" w:rsidP="0001409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Students should bring an SSR novel to class every day. Some days there will be time </w:t>
      </w:r>
      <w:r w:rsidR="003D427B">
        <w:rPr>
          <w:sz w:val="24"/>
        </w:rPr>
        <w:t>during</w:t>
      </w:r>
      <w:r>
        <w:rPr>
          <w:sz w:val="24"/>
        </w:rPr>
        <w:t xml:space="preserve"> the period to read, and each Friday students will be given an extended period of time for reading. (See #3).  </w:t>
      </w:r>
    </w:p>
    <w:p w:rsidR="00ED7150" w:rsidRDefault="00ED7150" w:rsidP="00ED7150">
      <w:pPr>
        <w:rPr>
          <w:sz w:val="24"/>
        </w:rPr>
      </w:pPr>
    </w:p>
    <w:p w:rsidR="003D427B" w:rsidRPr="003D427B" w:rsidRDefault="00564CFE" w:rsidP="003D427B">
      <w:pPr>
        <w:numPr>
          <w:ilvl w:val="0"/>
          <w:numId w:val="1"/>
        </w:numPr>
        <w:rPr>
          <w:sz w:val="24"/>
        </w:rPr>
      </w:pPr>
      <w:r w:rsidRPr="003D427B">
        <w:rPr>
          <w:sz w:val="24"/>
        </w:rPr>
        <w:t xml:space="preserve">Students will read and orally report on SSR/outside reading each </w:t>
      </w:r>
      <w:r w:rsidR="003D427B" w:rsidRPr="003D427B">
        <w:rPr>
          <w:sz w:val="24"/>
        </w:rPr>
        <w:t>nine</w:t>
      </w:r>
      <w:r w:rsidRPr="003D427B">
        <w:rPr>
          <w:sz w:val="24"/>
        </w:rPr>
        <w:t xml:space="preserve"> weeks as part of English class.  Grades wi</w:t>
      </w:r>
      <w:r w:rsidR="00EB5BC3" w:rsidRPr="003D427B">
        <w:rPr>
          <w:sz w:val="24"/>
        </w:rPr>
        <w:t xml:space="preserve">ll be determined by the attached rubric. </w:t>
      </w:r>
      <w:r w:rsidRPr="003D427B">
        <w:rPr>
          <w:sz w:val="24"/>
        </w:rPr>
        <w:t xml:space="preserve">This rubric shows number of pages read and corresponding grades. </w:t>
      </w:r>
    </w:p>
    <w:p w:rsidR="003D427B" w:rsidRPr="003D427B" w:rsidRDefault="003D427B" w:rsidP="003D427B">
      <w:pPr>
        <w:ind w:left="720"/>
        <w:rPr>
          <w:sz w:val="24"/>
        </w:rPr>
      </w:pPr>
    </w:p>
    <w:p w:rsidR="00564CFE" w:rsidRPr="00220BEB" w:rsidRDefault="00564CFE" w:rsidP="00564CFE">
      <w:pPr>
        <w:numPr>
          <w:ilvl w:val="0"/>
          <w:numId w:val="1"/>
        </w:numPr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Readings</w:t>
          </w:r>
        </w:smartTag>
      </w:smartTag>
      <w:r>
        <w:rPr>
          <w:sz w:val="24"/>
        </w:rPr>
        <w:t xml:space="preserve"> must be in book form, </w:t>
      </w:r>
      <w:r>
        <w:rPr>
          <w:sz w:val="24"/>
          <w:u w:val="single"/>
        </w:rPr>
        <w:t>not</w:t>
      </w:r>
      <w:r>
        <w:rPr>
          <w:sz w:val="24"/>
        </w:rPr>
        <w:t xml:space="preserve"> magazines, newspapers, brochures, etc.  </w:t>
      </w:r>
      <w:r w:rsidR="00B817F4">
        <w:rPr>
          <w:sz w:val="24"/>
        </w:rPr>
        <w:t>Students may NOT read</w:t>
      </w:r>
      <w:r w:rsidR="009A58C1">
        <w:rPr>
          <w:sz w:val="24"/>
        </w:rPr>
        <w:t xml:space="preserve"> joke books, </w:t>
      </w:r>
      <w:r>
        <w:rPr>
          <w:sz w:val="24"/>
        </w:rPr>
        <w:t>encyclopedias, textbooks</w:t>
      </w:r>
      <w:r w:rsidR="00EB5BC3">
        <w:rPr>
          <w:sz w:val="24"/>
        </w:rPr>
        <w:t>, (even if they’re for another class),</w:t>
      </w:r>
      <w:r w:rsidR="009A58C1">
        <w:rPr>
          <w:sz w:val="24"/>
        </w:rPr>
        <w:t xml:space="preserve"> or reference books for credit toward the required number of pages, but they may be read for pleasure.</w:t>
      </w:r>
      <w:r>
        <w:rPr>
          <w:sz w:val="24"/>
        </w:rPr>
        <w:t xml:space="preserve"> </w:t>
      </w:r>
      <w:r w:rsidR="009A58C1">
        <w:rPr>
          <w:sz w:val="24"/>
        </w:rPr>
        <w:t xml:space="preserve">Books of poetry or books like </w:t>
      </w:r>
      <w:r w:rsidR="009A58C1">
        <w:rPr>
          <w:i/>
          <w:sz w:val="24"/>
        </w:rPr>
        <w:t>Glass</w:t>
      </w:r>
      <w:r w:rsidR="009A58C1">
        <w:rPr>
          <w:sz w:val="24"/>
        </w:rPr>
        <w:t xml:space="preserve"> or </w:t>
      </w:r>
      <w:r w:rsidR="009A58C1">
        <w:rPr>
          <w:i/>
          <w:sz w:val="24"/>
        </w:rPr>
        <w:t xml:space="preserve">Crank </w:t>
      </w:r>
      <w:r w:rsidR="009A58C1">
        <w:rPr>
          <w:sz w:val="24"/>
        </w:rPr>
        <w:t>by Hopkins will be given credit for ¼ the total number of pages. For example, if the book is 400 pages, students will be given credit for 100 pages.</w:t>
      </w:r>
      <w:r>
        <w:rPr>
          <w:sz w:val="24"/>
        </w:rPr>
        <w:t xml:space="preserve"> </w:t>
      </w:r>
      <w:r>
        <w:rPr>
          <w:b/>
          <w:sz w:val="24"/>
        </w:rPr>
        <w:t xml:space="preserve">If there is any question as to whether or not a book is acceptable, the student should check with the teacher </w:t>
      </w:r>
      <w:r>
        <w:rPr>
          <w:b/>
          <w:sz w:val="24"/>
          <w:u w:val="single"/>
        </w:rPr>
        <w:t>before</w:t>
      </w:r>
      <w:r>
        <w:rPr>
          <w:b/>
          <w:sz w:val="24"/>
        </w:rPr>
        <w:t xml:space="preserve"> reading the book.</w:t>
      </w:r>
      <w:r w:rsidR="009A58C1">
        <w:rPr>
          <w:b/>
          <w:sz w:val="24"/>
        </w:rPr>
        <w:t xml:space="preserve"> </w:t>
      </w:r>
    </w:p>
    <w:p w:rsidR="00564CFE" w:rsidRDefault="00564CFE" w:rsidP="00564CFE">
      <w:pPr>
        <w:rPr>
          <w:sz w:val="24"/>
        </w:rPr>
      </w:pPr>
    </w:p>
    <w:p w:rsidR="00564CFE" w:rsidRDefault="00564CFE" w:rsidP="00564CF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If the entire book is not read, students will be given credit for the number of pages of the book they did read.</w:t>
      </w:r>
    </w:p>
    <w:p w:rsidR="00564CFE" w:rsidRDefault="00564CFE" w:rsidP="00564CFE">
      <w:pPr>
        <w:rPr>
          <w:sz w:val="24"/>
        </w:rPr>
      </w:pPr>
    </w:p>
    <w:p w:rsidR="00564CFE" w:rsidRDefault="00564CFE" w:rsidP="00564CFE">
      <w:pPr>
        <w:numPr>
          <w:ilvl w:val="0"/>
          <w:numId w:val="1"/>
        </w:numPr>
        <w:rPr>
          <w:b/>
          <w:i/>
          <w:sz w:val="24"/>
        </w:rPr>
      </w:pPr>
      <w:r>
        <w:rPr>
          <w:sz w:val="24"/>
        </w:rPr>
        <w:t xml:space="preserve">Students must have their books in their possession when they discuss them with the teacher. </w:t>
      </w:r>
      <w:r w:rsidR="00EB5BC3">
        <w:rPr>
          <w:b/>
          <w:sz w:val="24"/>
        </w:rPr>
        <w:t>In</w:t>
      </w:r>
      <w:r w:rsidR="00014091">
        <w:rPr>
          <w:b/>
          <w:sz w:val="24"/>
        </w:rPr>
        <w:t xml:space="preserve"> order to discuss a </w:t>
      </w:r>
      <w:r w:rsidR="00E37D9B">
        <w:rPr>
          <w:b/>
          <w:sz w:val="24"/>
        </w:rPr>
        <w:t xml:space="preserve">novel, </w:t>
      </w:r>
      <w:r w:rsidR="00B817F4" w:rsidRPr="00B817F4">
        <w:rPr>
          <w:b/>
          <w:sz w:val="24"/>
        </w:rPr>
        <w:t xml:space="preserve">the student must have brought that novel to class on an SSR day at least </w:t>
      </w:r>
      <w:r w:rsidR="00EB5BC3">
        <w:rPr>
          <w:b/>
          <w:sz w:val="24"/>
        </w:rPr>
        <w:t>twice</w:t>
      </w:r>
      <w:r w:rsidR="00B817F4" w:rsidRPr="00B817F4">
        <w:rPr>
          <w:b/>
          <w:sz w:val="24"/>
        </w:rPr>
        <w:t>.</w:t>
      </w:r>
      <w:r w:rsidR="005C7FC6">
        <w:rPr>
          <w:sz w:val="24"/>
        </w:rPr>
        <w:t xml:space="preserve"> </w:t>
      </w:r>
      <w:r>
        <w:rPr>
          <w:sz w:val="24"/>
        </w:rPr>
        <w:t xml:space="preserve"> These discussions may be done any time during a </w:t>
      </w:r>
      <w:r w:rsidR="003D427B">
        <w:rPr>
          <w:sz w:val="24"/>
        </w:rPr>
        <w:t>nine week</w:t>
      </w:r>
      <w:r>
        <w:rPr>
          <w:sz w:val="24"/>
        </w:rPr>
        <w:t xml:space="preserve"> period </w:t>
      </w:r>
      <w:r w:rsidR="005C7FC6">
        <w:rPr>
          <w:sz w:val="24"/>
        </w:rPr>
        <w:t>(before school, after school, during lunch or break (with an appointment), or</w:t>
      </w:r>
      <w:r>
        <w:rPr>
          <w:sz w:val="24"/>
        </w:rPr>
        <w:t xml:space="preserve"> during class on SSR days).  </w:t>
      </w:r>
      <w:r w:rsidR="005C7FC6">
        <w:rPr>
          <w:sz w:val="24"/>
        </w:rPr>
        <w:t xml:space="preserve">It is </w:t>
      </w:r>
      <w:r w:rsidR="00014091">
        <w:rPr>
          <w:sz w:val="24"/>
        </w:rPr>
        <w:t>imperative</w:t>
      </w:r>
      <w:r w:rsidR="005C7FC6">
        <w:rPr>
          <w:sz w:val="24"/>
        </w:rPr>
        <w:t xml:space="preserve"> that students schedule appointments in advance for book talks</w:t>
      </w:r>
      <w:r w:rsidR="00B817F4">
        <w:rPr>
          <w:sz w:val="24"/>
        </w:rPr>
        <w:t>!</w:t>
      </w:r>
      <w:r w:rsidR="005C7FC6">
        <w:rPr>
          <w:sz w:val="24"/>
        </w:rPr>
        <w:t xml:space="preserve"> </w:t>
      </w:r>
      <w:r>
        <w:rPr>
          <w:sz w:val="24"/>
        </w:rPr>
        <w:t xml:space="preserve">Because students know that they have numerous opportunities to do this assignment, </w:t>
      </w:r>
      <w:r>
        <w:rPr>
          <w:b/>
          <w:i/>
          <w:sz w:val="24"/>
        </w:rPr>
        <w:t xml:space="preserve">there will be </w:t>
      </w:r>
      <w:r>
        <w:rPr>
          <w:b/>
          <w:i/>
          <w:sz w:val="24"/>
          <w:u w:val="single"/>
        </w:rPr>
        <w:t>no</w:t>
      </w:r>
      <w:r>
        <w:rPr>
          <w:b/>
          <w:i/>
          <w:sz w:val="24"/>
        </w:rPr>
        <w:t xml:space="preserve"> excuses for not having it done by the end of a</w:t>
      </w:r>
      <w:r w:rsidR="003D427B">
        <w:rPr>
          <w:b/>
          <w:i/>
          <w:sz w:val="24"/>
        </w:rPr>
        <w:t xml:space="preserve"> nine week</w:t>
      </w:r>
      <w:r>
        <w:rPr>
          <w:b/>
          <w:i/>
          <w:sz w:val="24"/>
        </w:rPr>
        <w:t xml:space="preserve"> period.</w:t>
      </w:r>
      <w:r>
        <w:rPr>
          <w:sz w:val="24"/>
        </w:rPr>
        <w:t xml:space="preserve">  Obviously there will not be time for all students to do their “book talks</w:t>
      </w:r>
      <w:r w:rsidR="003D427B">
        <w:rPr>
          <w:sz w:val="24"/>
        </w:rPr>
        <w:t>” on the last day of a nine</w:t>
      </w:r>
      <w:r w:rsidR="00220BEB">
        <w:rPr>
          <w:sz w:val="24"/>
        </w:rPr>
        <w:t xml:space="preserve"> week period, so students</w:t>
      </w:r>
      <w:r>
        <w:rPr>
          <w:sz w:val="24"/>
        </w:rPr>
        <w:t xml:space="preserve"> are urged to do the assignment as soon as they have finished their reading or at least done a major portion of it.</w:t>
      </w:r>
    </w:p>
    <w:p w:rsidR="00564CFE" w:rsidRDefault="00564CFE" w:rsidP="00564CFE">
      <w:pPr>
        <w:rPr>
          <w:b/>
          <w:i/>
          <w:sz w:val="24"/>
        </w:rPr>
      </w:pPr>
    </w:p>
    <w:p w:rsidR="00564CFE" w:rsidRPr="00220BEB" w:rsidRDefault="00220BEB" w:rsidP="00564CFE">
      <w:pPr>
        <w:numPr>
          <w:ilvl w:val="0"/>
          <w:numId w:val="1"/>
        </w:numPr>
        <w:rPr>
          <w:b/>
          <w:i/>
          <w:sz w:val="24"/>
        </w:rPr>
      </w:pPr>
      <w:r>
        <w:rPr>
          <w:b/>
          <w:sz w:val="24"/>
        </w:rPr>
        <w:t>The SSR “book talk</w:t>
      </w:r>
      <w:r w:rsidR="005E6A0B">
        <w:rPr>
          <w:b/>
          <w:sz w:val="24"/>
        </w:rPr>
        <w:t>” will count as</w:t>
      </w:r>
      <w:r w:rsidR="00723832">
        <w:rPr>
          <w:b/>
          <w:sz w:val="24"/>
        </w:rPr>
        <w:t xml:space="preserve"> </w:t>
      </w:r>
      <w:r w:rsidR="003D427B">
        <w:rPr>
          <w:b/>
          <w:sz w:val="24"/>
        </w:rPr>
        <w:t>4</w:t>
      </w:r>
      <w:r w:rsidR="00723832">
        <w:rPr>
          <w:b/>
          <w:sz w:val="24"/>
        </w:rPr>
        <w:t>0</w:t>
      </w:r>
      <w:r w:rsidR="005C7FC6">
        <w:rPr>
          <w:b/>
          <w:sz w:val="24"/>
        </w:rPr>
        <w:t xml:space="preserve"> point</w:t>
      </w:r>
      <w:r w:rsidR="00EB5BC3">
        <w:rPr>
          <w:b/>
          <w:sz w:val="24"/>
        </w:rPr>
        <w:t xml:space="preserve">s </w:t>
      </w:r>
      <w:r w:rsidR="00564CFE">
        <w:rPr>
          <w:b/>
          <w:sz w:val="24"/>
        </w:rPr>
        <w:t xml:space="preserve">each </w:t>
      </w:r>
      <w:r w:rsidR="003D427B">
        <w:rPr>
          <w:b/>
          <w:sz w:val="24"/>
        </w:rPr>
        <w:t>nine</w:t>
      </w:r>
      <w:r w:rsidR="00564CFE">
        <w:rPr>
          <w:b/>
          <w:sz w:val="24"/>
        </w:rPr>
        <w:t xml:space="preserve"> weeks.</w:t>
      </w:r>
    </w:p>
    <w:p w:rsidR="00220BEB" w:rsidRDefault="00220BEB" w:rsidP="00220BEB">
      <w:pPr>
        <w:rPr>
          <w:b/>
          <w:sz w:val="24"/>
        </w:rPr>
      </w:pPr>
    </w:p>
    <w:p w:rsidR="00220BEB" w:rsidRDefault="00220BEB" w:rsidP="00220BEB">
      <w:pPr>
        <w:rPr>
          <w:b/>
          <w:i/>
          <w:sz w:val="24"/>
        </w:rPr>
      </w:pPr>
    </w:p>
    <w:p w:rsidR="009E47D4" w:rsidRDefault="009E47D4" w:rsidP="00564CFE">
      <w:pPr>
        <w:pStyle w:val="BodyText"/>
      </w:pPr>
    </w:p>
    <w:p w:rsidR="00564CFE" w:rsidRDefault="00564CFE" w:rsidP="00564CFE">
      <w:pPr>
        <w:pStyle w:val="BodyText"/>
      </w:pPr>
      <w:r>
        <w:lastRenderedPageBreak/>
        <w:t>Other specifics:</w:t>
      </w:r>
    </w:p>
    <w:p w:rsidR="00564CFE" w:rsidRDefault="00564CFE" w:rsidP="00564CFE">
      <w:pPr>
        <w:rPr>
          <w:sz w:val="24"/>
        </w:rPr>
      </w:pPr>
    </w:p>
    <w:p w:rsidR="00564CFE" w:rsidRPr="00076058" w:rsidRDefault="00564CFE" w:rsidP="00564CFE">
      <w:pPr>
        <w:ind w:left="720" w:hanging="720"/>
        <w:rPr>
          <w:b/>
          <w:sz w:val="24"/>
        </w:rPr>
      </w:pPr>
      <w:r>
        <w:rPr>
          <w:sz w:val="24"/>
        </w:rPr>
        <w:t>A.</w:t>
      </w:r>
      <w:r>
        <w:rPr>
          <w:sz w:val="24"/>
        </w:rPr>
        <w:tab/>
        <w:t>Exc</w:t>
      </w:r>
      <w:r w:rsidR="00330D3C">
        <w:rPr>
          <w:sz w:val="24"/>
        </w:rPr>
        <w:t xml:space="preserve">ess pages read (over and above </w:t>
      </w:r>
      <w:r w:rsidR="003D427B">
        <w:rPr>
          <w:sz w:val="24"/>
        </w:rPr>
        <w:t xml:space="preserve">350 </w:t>
      </w:r>
      <w:r>
        <w:rPr>
          <w:sz w:val="24"/>
        </w:rPr>
        <w:t>pages) will</w:t>
      </w:r>
      <w:r w:rsidR="003D427B">
        <w:rPr>
          <w:sz w:val="24"/>
        </w:rPr>
        <w:t xml:space="preserve"> be carried over to the next nine</w:t>
      </w:r>
      <w:r>
        <w:rPr>
          <w:sz w:val="24"/>
        </w:rPr>
        <w:t xml:space="preserve"> weeks.</w:t>
      </w:r>
      <w:r w:rsidR="00076058">
        <w:rPr>
          <w:sz w:val="24"/>
        </w:rPr>
        <w:t xml:space="preserve"> </w:t>
      </w:r>
      <w:r w:rsidR="00076058" w:rsidRPr="00076058">
        <w:rPr>
          <w:b/>
          <w:sz w:val="24"/>
        </w:rPr>
        <w:t>However, ev</w:t>
      </w:r>
      <w:r w:rsidR="003D427B">
        <w:rPr>
          <w:b/>
          <w:sz w:val="24"/>
        </w:rPr>
        <w:t>en when students have finished 3</w:t>
      </w:r>
      <w:r w:rsidR="00076058" w:rsidRPr="00076058">
        <w:rPr>
          <w:b/>
          <w:sz w:val="24"/>
        </w:rPr>
        <w:t xml:space="preserve">50 pages, they still need to do SSR reading every Friday. </w:t>
      </w:r>
    </w:p>
    <w:p w:rsidR="00564CFE" w:rsidRDefault="00564CFE" w:rsidP="00564CFE">
      <w:pPr>
        <w:ind w:left="720" w:hanging="720"/>
        <w:rPr>
          <w:sz w:val="24"/>
        </w:rPr>
      </w:pPr>
    </w:p>
    <w:p w:rsidR="00564CFE" w:rsidRDefault="00564CFE" w:rsidP="00564C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Reading can be from more than one book if necessary to accumulate the r</w:t>
      </w:r>
      <w:r w:rsidR="003D427B">
        <w:rPr>
          <w:sz w:val="24"/>
        </w:rPr>
        <w:t>equired number of pages each nine</w:t>
      </w:r>
      <w:r>
        <w:rPr>
          <w:sz w:val="24"/>
        </w:rPr>
        <w:t xml:space="preserve"> weeks.</w:t>
      </w:r>
    </w:p>
    <w:p w:rsidR="00564CFE" w:rsidRDefault="00564CFE" w:rsidP="00564CFE">
      <w:pPr>
        <w:rPr>
          <w:sz w:val="24"/>
        </w:rPr>
      </w:pPr>
    </w:p>
    <w:p w:rsidR="00564CFE" w:rsidRDefault="00564CFE" w:rsidP="00564C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Students may NOT report on books they have read for previous English classes.</w:t>
      </w:r>
      <w:r w:rsidR="00EB5BC3">
        <w:rPr>
          <w:sz w:val="24"/>
        </w:rPr>
        <w:t xml:space="preserve"> All the teachers have records of your previous book talks, so no funny business! Doing a book talk you have already done will be considered </w:t>
      </w:r>
      <w:r w:rsidR="00220BEB">
        <w:rPr>
          <w:sz w:val="24"/>
        </w:rPr>
        <w:t>plagiarism and be given a referral to administration as such</w:t>
      </w:r>
      <w:r w:rsidR="00EB5BC3">
        <w:rPr>
          <w:sz w:val="24"/>
        </w:rPr>
        <w:t xml:space="preserve">. </w:t>
      </w:r>
    </w:p>
    <w:p w:rsidR="00564CFE" w:rsidRDefault="00564CFE" w:rsidP="00564CFE">
      <w:pPr>
        <w:rPr>
          <w:sz w:val="24"/>
        </w:rPr>
      </w:pPr>
    </w:p>
    <w:p w:rsidR="00564CFE" w:rsidRDefault="00564CFE" w:rsidP="00564C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Outside reading for another class (history, science, etc.) is acceptable for the reading report as long as the material does not fall into one of the “exception” categories (</w:t>
      </w:r>
      <w:r w:rsidR="00076058">
        <w:rPr>
          <w:sz w:val="24"/>
        </w:rPr>
        <w:t xml:space="preserve">which </w:t>
      </w:r>
      <w:proofErr w:type="gramStart"/>
      <w:r w:rsidR="00076058">
        <w:rPr>
          <w:sz w:val="24"/>
        </w:rPr>
        <w:t>means</w:t>
      </w:r>
      <w:proofErr w:type="gramEnd"/>
      <w:r w:rsidR="00076058">
        <w:rPr>
          <w:sz w:val="24"/>
        </w:rPr>
        <w:t xml:space="preserve"> no textbooks!</w:t>
      </w:r>
      <w:r>
        <w:rPr>
          <w:sz w:val="24"/>
        </w:rPr>
        <w:t>).</w:t>
      </w:r>
    </w:p>
    <w:p w:rsidR="00564CFE" w:rsidRDefault="00564CFE" w:rsidP="00564CFE">
      <w:pPr>
        <w:rPr>
          <w:sz w:val="24"/>
        </w:rPr>
      </w:pPr>
    </w:p>
    <w:p w:rsidR="00564CFE" w:rsidRDefault="00564CFE" w:rsidP="00564CFE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If students hate a book after 25-30 pages, they should present the book to the </w:t>
      </w:r>
      <w:proofErr w:type="gramStart"/>
      <w:r>
        <w:rPr>
          <w:sz w:val="24"/>
        </w:rPr>
        <w:t>teacher,</w:t>
      </w:r>
      <w:proofErr w:type="gramEnd"/>
      <w:r>
        <w:rPr>
          <w:sz w:val="24"/>
        </w:rPr>
        <w:t xml:space="preserve"> report on those 25-30 pages to get credit for them, and then go on to another book.</w:t>
      </w:r>
    </w:p>
    <w:p w:rsidR="00564CFE" w:rsidRDefault="00564CFE" w:rsidP="00564CFE">
      <w:pPr>
        <w:rPr>
          <w:sz w:val="24"/>
        </w:rPr>
      </w:pPr>
    </w:p>
    <w:p w:rsidR="00ED7150" w:rsidRDefault="00ED7150" w:rsidP="00ED7150">
      <w:pPr>
        <w:numPr>
          <w:ilvl w:val="0"/>
          <w:numId w:val="2"/>
        </w:numPr>
        <w:rPr>
          <w:sz w:val="24"/>
        </w:rPr>
      </w:pPr>
      <w:r>
        <w:rPr>
          <w:b/>
          <w:i/>
          <w:sz w:val="24"/>
        </w:rPr>
        <w:t>In addition to the SSR quiz</w:t>
      </w:r>
      <w:r w:rsidR="003D427B">
        <w:rPr>
          <w:b/>
          <w:i/>
          <w:sz w:val="24"/>
        </w:rPr>
        <w:t xml:space="preserve"> grade each nine</w:t>
      </w:r>
      <w:r w:rsidRPr="00723832">
        <w:rPr>
          <w:b/>
          <w:i/>
          <w:sz w:val="24"/>
        </w:rPr>
        <w:t xml:space="preserve"> weeks, the student will receive a daily grade each SSR day</w:t>
      </w:r>
      <w:r>
        <w:rPr>
          <w:sz w:val="24"/>
        </w:rPr>
        <w:t>.  The daily grade will be based on whether or not the student brings an appropriate book to class that day, and whether or not he/she reads for the entire allotted time.  A student who does not bring a book to class on an SSR day will not receive a passing grade for that day.</w:t>
      </w:r>
      <w:r w:rsidR="00076058">
        <w:rPr>
          <w:sz w:val="24"/>
        </w:rPr>
        <w:t xml:space="preserve"> If a student forgets a book, they can still receive 3/5 points if the</w:t>
      </w:r>
      <w:r w:rsidR="003D427B">
        <w:rPr>
          <w:sz w:val="24"/>
        </w:rPr>
        <w:t xml:space="preserve">y select a book from Ms. </w:t>
      </w:r>
      <w:proofErr w:type="spellStart"/>
      <w:r w:rsidR="003D427B">
        <w:rPr>
          <w:sz w:val="24"/>
        </w:rPr>
        <w:t>Lagomarsino</w:t>
      </w:r>
      <w:r w:rsidR="00076058">
        <w:rPr>
          <w:sz w:val="24"/>
        </w:rPr>
        <w:t>’s</w:t>
      </w:r>
      <w:proofErr w:type="spellEnd"/>
      <w:r w:rsidR="00076058">
        <w:rPr>
          <w:sz w:val="24"/>
        </w:rPr>
        <w:t xml:space="preserve"> collection and read productively during SSR. </w:t>
      </w:r>
      <w:r>
        <w:rPr>
          <w:sz w:val="24"/>
        </w:rPr>
        <w:br/>
      </w:r>
    </w:p>
    <w:p w:rsidR="00ED7150" w:rsidRDefault="00ED7150" w:rsidP="00ED7150">
      <w:pPr>
        <w:numPr>
          <w:ilvl w:val="0"/>
          <w:numId w:val="2"/>
        </w:numPr>
        <w:rPr>
          <w:sz w:val="24"/>
        </w:rPr>
      </w:pPr>
      <w:r w:rsidRPr="00B20FBA">
        <w:rPr>
          <w:b/>
          <w:i/>
          <w:sz w:val="24"/>
        </w:rPr>
        <w:t>If a student chooses to read a novel that has been turned into a movie, an additional assignment is required.</w:t>
      </w:r>
      <w:r>
        <w:rPr>
          <w:sz w:val="24"/>
        </w:rPr>
        <w:t xml:space="preserve"> For these novels, students will need to write a one page (double spaced) comparative essay about the </w:t>
      </w:r>
      <w:r w:rsidR="00076058" w:rsidRPr="00076058">
        <w:rPr>
          <w:sz w:val="24"/>
          <w:u w:val="single"/>
        </w:rPr>
        <w:t>specific</w:t>
      </w:r>
      <w:r w:rsidR="00076058">
        <w:rPr>
          <w:sz w:val="24"/>
        </w:rPr>
        <w:t xml:space="preserve"> </w:t>
      </w:r>
      <w:r>
        <w:rPr>
          <w:sz w:val="24"/>
        </w:rPr>
        <w:t xml:space="preserve">similarities and differences between the two mediums. In the essay students should include when and where they watched the film, and which medium they prefer and why. </w:t>
      </w:r>
    </w:p>
    <w:p w:rsidR="00ED7150" w:rsidRDefault="00ED7150" w:rsidP="00ED7150">
      <w:pPr>
        <w:rPr>
          <w:sz w:val="24"/>
        </w:rPr>
      </w:pPr>
    </w:p>
    <w:p w:rsidR="00A50915" w:rsidRDefault="00A50915" w:rsidP="003D427B">
      <w:pPr>
        <w:rPr>
          <w:sz w:val="24"/>
        </w:rPr>
      </w:pPr>
    </w:p>
    <w:p w:rsidR="003D427B" w:rsidRDefault="003D427B" w:rsidP="003D427B">
      <w:pPr>
        <w:rPr>
          <w:sz w:val="24"/>
        </w:rPr>
      </w:pPr>
    </w:p>
    <w:p w:rsidR="003D427B" w:rsidRDefault="003D427B" w:rsidP="003D427B">
      <w:pPr>
        <w:rPr>
          <w:sz w:val="24"/>
        </w:rPr>
      </w:pPr>
    </w:p>
    <w:p w:rsidR="003D427B" w:rsidRDefault="003D427B" w:rsidP="003D427B">
      <w:pPr>
        <w:rPr>
          <w:sz w:val="24"/>
        </w:rPr>
      </w:pPr>
    </w:p>
    <w:p w:rsidR="003D427B" w:rsidRDefault="003D427B" w:rsidP="003D427B">
      <w:pPr>
        <w:rPr>
          <w:sz w:val="24"/>
        </w:rPr>
      </w:pPr>
    </w:p>
    <w:p w:rsidR="003D427B" w:rsidRDefault="003D427B" w:rsidP="003D427B">
      <w:pPr>
        <w:rPr>
          <w:sz w:val="24"/>
        </w:rPr>
      </w:pPr>
    </w:p>
    <w:p w:rsidR="003D427B" w:rsidRDefault="003D427B" w:rsidP="003D427B">
      <w:pPr>
        <w:rPr>
          <w:sz w:val="24"/>
        </w:rPr>
      </w:pPr>
    </w:p>
    <w:p w:rsidR="003D427B" w:rsidRDefault="003D427B" w:rsidP="003D427B">
      <w:pPr>
        <w:rPr>
          <w:sz w:val="24"/>
        </w:rPr>
      </w:pPr>
    </w:p>
    <w:p w:rsidR="003D427B" w:rsidRDefault="003D427B" w:rsidP="003D427B">
      <w:pPr>
        <w:rPr>
          <w:b/>
          <w:sz w:val="36"/>
          <w:szCs w:val="36"/>
        </w:rPr>
      </w:pPr>
    </w:p>
    <w:p w:rsidR="00A50915" w:rsidRDefault="00A50915" w:rsidP="00ED7150">
      <w:pPr>
        <w:jc w:val="center"/>
        <w:rPr>
          <w:b/>
          <w:sz w:val="36"/>
          <w:szCs w:val="36"/>
        </w:rPr>
      </w:pPr>
    </w:p>
    <w:p w:rsidR="00564CFE" w:rsidRPr="00ED7150" w:rsidRDefault="00ED7150" w:rsidP="00ED7150">
      <w:pPr>
        <w:jc w:val="center"/>
        <w:rPr>
          <w:b/>
          <w:sz w:val="36"/>
          <w:szCs w:val="36"/>
        </w:rPr>
      </w:pPr>
      <w:r w:rsidRPr="00ED7150">
        <w:rPr>
          <w:b/>
          <w:sz w:val="36"/>
          <w:szCs w:val="36"/>
        </w:rPr>
        <w:t>SSR RUBRIC</w:t>
      </w:r>
    </w:p>
    <w:p w:rsidR="00564CFE" w:rsidRDefault="00564CFE" w:rsidP="00564CFE">
      <w:pPr>
        <w:rPr>
          <w:sz w:val="24"/>
        </w:rPr>
      </w:pPr>
    </w:p>
    <w:p w:rsidR="00ED7150" w:rsidRDefault="00ED7150" w:rsidP="00ED7150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Remember you only get credit for the number of pages you report to Ms. </w:t>
      </w:r>
      <w:proofErr w:type="spellStart"/>
      <w:r w:rsidR="00120F56">
        <w:rPr>
          <w:sz w:val="24"/>
        </w:rPr>
        <w:t>Lagomarsino</w:t>
      </w:r>
      <w:proofErr w:type="spellEnd"/>
    </w:p>
    <w:p w:rsidR="009A58C1" w:rsidRPr="003D427B" w:rsidRDefault="00ED7150" w:rsidP="009A58C1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You can report as many times as you need to during each six-week grading </w:t>
      </w:r>
      <w:r w:rsidR="003D427B">
        <w:rPr>
          <w:sz w:val="24"/>
        </w:rPr>
        <w:t>period in order to reach your 350</w:t>
      </w:r>
      <w:r>
        <w:rPr>
          <w:sz w:val="24"/>
        </w:rPr>
        <w:t xml:space="preserve"> pages.</w:t>
      </w:r>
    </w:p>
    <w:tbl>
      <w:tblPr>
        <w:tblpPr w:leftFromText="180" w:rightFromText="180" w:vertAnchor="page" w:horzAnchor="margin" w:tblpXSpec="center" w:tblpY="3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18"/>
        <w:gridCol w:w="1089"/>
        <w:gridCol w:w="18"/>
      </w:tblGrid>
      <w:tr w:rsidR="003D427B" w:rsidRPr="00220BEB" w:rsidTr="003D427B">
        <w:tc>
          <w:tcPr>
            <w:tcW w:w="1188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># of pages</w:t>
            </w:r>
          </w:p>
        </w:tc>
        <w:tc>
          <w:tcPr>
            <w:tcW w:w="1107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>Grade</w:t>
            </w:r>
          </w:p>
        </w:tc>
      </w:tr>
      <w:tr w:rsidR="003D427B" w:rsidRPr="00220BEB" w:rsidTr="003D427B">
        <w:tc>
          <w:tcPr>
            <w:tcW w:w="1188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 xml:space="preserve"> 0</w:t>
            </w:r>
          </w:p>
        </w:tc>
        <w:tc>
          <w:tcPr>
            <w:tcW w:w="1107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 xml:space="preserve"> 0</w:t>
            </w:r>
          </w:p>
        </w:tc>
      </w:tr>
      <w:tr w:rsidR="003D427B" w:rsidRPr="00220BEB" w:rsidTr="003D427B">
        <w:tc>
          <w:tcPr>
            <w:tcW w:w="1188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 xml:space="preserve"> 1-9</w:t>
            </w:r>
          </w:p>
        </w:tc>
        <w:tc>
          <w:tcPr>
            <w:tcW w:w="1107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 xml:space="preserve"> 1</w:t>
            </w:r>
          </w:p>
        </w:tc>
      </w:tr>
      <w:tr w:rsidR="003D427B" w:rsidRPr="00220BEB" w:rsidTr="003D427B">
        <w:tc>
          <w:tcPr>
            <w:tcW w:w="1188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 xml:space="preserve"> 10-19</w:t>
            </w:r>
          </w:p>
        </w:tc>
        <w:tc>
          <w:tcPr>
            <w:tcW w:w="1107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 xml:space="preserve"> 2</w:t>
            </w:r>
          </w:p>
        </w:tc>
      </w:tr>
      <w:tr w:rsidR="003D427B" w:rsidRPr="00220BEB" w:rsidTr="003D427B">
        <w:tc>
          <w:tcPr>
            <w:tcW w:w="1188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 xml:space="preserve"> 20-29</w:t>
            </w:r>
          </w:p>
        </w:tc>
        <w:tc>
          <w:tcPr>
            <w:tcW w:w="1107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 xml:space="preserve"> 3</w:t>
            </w:r>
          </w:p>
        </w:tc>
      </w:tr>
      <w:tr w:rsidR="003D427B" w:rsidRPr="00220BEB" w:rsidTr="003D427B">
        <w:tc>
          <w:tcPr>
            <w:tcW w:w="1188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>30-39</w:t>
            </w:r>
          </w:p>
        </w:tc>
        <w:tc>
          <w:tcPr>
            <w:tcW w:w="1107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 xml:space="preserve"> 4</w:t>
            </w:r>
          </w:p>
        </w:tc>
      </w:tr>
      <w:tr w:rsidR="003D427B" w:rsidRPr="00220BEB" w:rsidTr="003D427B">
        <w:tc>
          <w:tcPr>
            <w:tcW w:w="1188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>40-49</w:t>
            </w:r>
          </w:p>
        </w:tc>
        <w:tc>
          <w:tcPr>
            <w:tcW w:w="1107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 xml:space="preserve"> 5</w:t>
            </w:r>
          </w:p>
        </w:tc>
      </w:tr>
      <w:tr w:rsidR="003D427B" w:rsidRPr="00220BEB" w:rsidTr="003D427B">
        <w:tc>
          <w:tcPr>
            <w:tcW w:w="1188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>50-59</w:t>
            </w:r>
          </w:p>
        </w:tc>
        <w:tc>
          <w:tcPr>
            <w:tcW w:w="1107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 xml:space="preserve"> 6</w:t>
            </w:r>
          </w:p>
        </w:tc>
      </w:tr>
      <w:tr w:rsidR="003D427B" w:rsidRPr="00220BEB" w:rsidTr="003D427B">
        <w:tc>
          <w:tcPr>
            <w:tcW w:w="1188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>60-64</w:t>
            </w:r>
          </w:p>
        </w:tc>
        <w:tc>
          <w:tcPr>
            <w:tcW w:w="1107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 xml:space="preserve"> 7</w:t>
            </w:r>
          </w:p>
        </w:tc>
      </w:tr>
      <w:tr w:rsidR="003D427B" w:rsidRPr="00220BEB" w:rsidTr="003D427B">
        <w:tc>
          <w:tcPr>
            <w:tcW w:w="1188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>65-69</w:t>
            </w:r>
          </w:p>
        </w:tc>
        <w:tc>
          <w:tcPr>
            <w:tcW w:w="1107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 xml:space="preserve"> 8</w:t>
            </w:r>
          </w:p>
        </w:tc>
      </w:tr>
      <w:tr w:rsidR="003D427B" w:rsidRPr="00220BEB" w:rsidTr="003D427B">
        <w:tc>
          <w:tcPr>
            <w:tcW w:w="1188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>70-74</w:t>
            </w:r>
          </w:p>
        </w:tc>
        <w:tc>
          <w:tcPr>
            <w:tcW w:w="1107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 xml:space="preserve"> 9</w:t>
            </w:r>
          </w:p>
        </w:tc>
      </w:tr>
      <w:tr w:rsidR="003D427B" w:rsidRPr="00220BEB" w:rsidTr="003D427B">
        <w:tc>
          <w:tcPr>
            <w:tcW w:w="1188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>75 -79</w:t>
            </w:r>
          </w:p>
        </w:tc>
        <w:tc>
          <w:tcPr>
            <w:tcW w:w="1107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>10</w:t>
            </w:r>
          </w:p>
        </w:tc>
      </w:tr>
      <w:tr w:rsidR="003D427B" w:rsidRPr="00220BEB" w:rsidTr="003D427B">
        <w:tc>
          <w:tcPr>
            <w:tcW w:w="1188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>80-84</w:t>
            </w:r>
          </w:p>
        </w:tc>
        <w:tc>
          <w:tcPr>
            <w:tcW w:w="1107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>11</w:t>
            </w:r>
          </w:p>
        </w:tc>
      </w:tr>
      <w:tr w:rsidR="003D427B" w:rsidRPr="00220BEB" w:rsidTr="003D427B">
        <w:tc>
          <w:tcPr>
            <w:tcW w:w="1188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>85-89</w:t>
            </w:r>
          </w:p>
        </w:tc>
        <w:tc>
          <w:tcPr>
            <w:tcW w:w="1107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 xml:space="preserve"> 12</w:t>
            </w:r>
          </w:p>
        </w:tc>
      </w:tr>
      <w:tr w:rsidR="003D427B" w:rsidRPr="00220BEB" w:rsidTr="003D427B">
        <w:trPr>
          <w:gridAfter w:val="1"/>
          <w:wAfter w:w="18" w:type="dxa"/>
        </w:trPr>
        <w:tc>
          <w:tcPr>
            <w:tcW w:w="1170" w:type="dxa"/>
          </w:tcPr>
          <w:p w:rsidR="003D427B" w:rsidRPr="00220BEB" w:rsidRDefault="003D427B" w:rsidP="003D427B">
            <w:pPr>
              <w:jc w:val="center"/>
            </w:pPr>
            <w:r w:rsidRPr="00220BEB">
              <w:t>90-94</w:t>
            </w:r>
          </w:p>
        </w:tc>
        <w:tc>
          <w:tcPr>
            <w:tcW w:w="1107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 xml:space="preserve"> 13</w:t>
            </w:r>
          </w:p>
        </w:tc>
      </w:tr>
      <w:tr w:rsidR="003D427B" w:rsidRPr="00220BEB" w:rsidTr="003D427B">
        <w:trPr>
          <w:gridAfter w:val="1"/>
          <w:wAfter w:w="18" w:type="dxa"/>
        </w:trPr>
        <w:tc>
          <w:tcPr>
            <w:tcW w:w="1170" w:type="dxa"/>
          </w:tcPr>
          <w:p w:rsidR="003D427B" w:rsidRPr="00220BEB" w:rsidRDefault="003D427B" w:rsidP="003D427B">
            <w:pPr>
              <w:jc w:val="center"/>
            </w:pPr>
            <w:r w:rsidRPr="00220BEB">
              <w:t>95-99</w:t>
            </w:r>
          </w:p>
        </w:tc>
        <w:tc>
          <w:tcPr>
            <w:tcW w:w="1107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 xml:space="preserve"> 14</w:t>
            </w:r>
          </w:p>
        </w:tc>
      </w:tr>
      <w:tr w:rsidR="003D427B" w:rsidRPr="00220BEB" w:rsidTr="003D427B">
        <w:trPr>
          <w:gridAfter w:val="1"/>
          <w:wAfter w:w="18" w:type="dxa"/>
        </w:trPr>
        <w:tc>
          <w:tcPr>
            <w:tcW w:w="1170" w:type="dxa"/>
          </w:tcPr>
          <w:p w:rsidR="003D427B" w:rsidRPr="00220BEB" w:rsidRDefault="003D427B" w:rsidP="003D427B">
            <w:pPr>
              <w:jc w:val="center"/>
            </w:pPr>
            <w:r w:rsidRPr="00220BEB">
              <w:t>100-109</w:t>
            </w:r>
          </w:p>
        </w:tc>
        <w:tc>
          <w:tcPr>
            <w:tcW w:w="1107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 xml:space="preserve"> 15</w:t>
            </w:r>
          </w:p>
        </w:tc>
      </w:tr>
      <w:tr w:rsidR="003D427B" w:rsidRPr="00220BEB" w:rsidTr="003D427B">
        <w:trPr>
          <w:gridAfter w:val="1"/>
          <w:wAfter w:w="18" w:type="dxa"/>
        </w:trPr>
        <w:tc>
          <w:tcPr>
            <w:tcW w:w="1170" w:type="dxa"/>
          </w:tcPr>
          <w:p w:rsidR="003D427B" w:rsidRPr="00220BEB" w:rsidRDefault="003D427B" w:rsidP="003D427B">
            <w:pPr>
              <w:jc w:val="center"/>
            </w:pPr>
            <w:r w:rsidRPr="00220BEB">
              <w:t>110-119</w:t>
            </w:r>
          </w:p>
        </w:tc>
        <w:tc>
          <w:tcPr>
            <w:tcW w:w="1107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 xml:space="preserve"> 16</w:t>
            </w:r>
          </w:p>
        </w:tc>
      </w:tr>
      <w:tr w:rsidR="003D427B" w:rsidRPr="00220BEB" w:rsidTr="003D427B">
        <w:trPr>
          <w:gridAfter w:val="1"/>
          <w:wAfter w:w="18" w:type="dxa"/>
        </w:trPr>
        <w:tc>
          <w:tcPr>
            <w:tcW w:w="1170" w:type="dxa"/>
          </w:tcPr>
          <w:p w:rsidR="003D427B" w:rsidRPr="00220BEB" w:rsidRDefault="003D427B" w:rsidP="003D427B">
            <w:pPr>
              <w:jc w:val="center"/>
            </w:pPr>
            <w:r w:rsidRPr="00220BEB">
              <w:t>120-129</w:t>
            </w:r>
          </w:p>
        </w:tc>
        <w:tc>
          <w:tcPr>
            <w:tcW w:w="1107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>17</w:t>
            </w:r>
          </w:p>
        </w:tc>
      </w:tr>
      <w:tr w:rsidR="003D427B" w:rsidRPr="00220BEB" w:rsidTr="003D427B">
        <w:trPr>
          <w:gridAfter w:val="1"/>
          <w:wAfter w:w="18" w:type="dxa"/>
        </w:trPr>
        <w:tc>
          <w:tcPr>
            <w:tcW w:w="1170" w:type="dxa"/>
          </w:tcPr>
          <w:p w:rsidR="003D427B" w:rsidRPr="00220BEB" w:rsidRDefault="003D427B" w:rsidP="003D427B">
            <w:pPr>
              <w:jc w:val="center"/>
            </w:pPr>
            <w:r w:rsidRPr="00220BEB">
              <w:t>130-139</w:t>
            </w:r>
          </w:p>
        </w:tc>
        <w:tc>
          <w:tcPr>
            <w:tcW w:w="1107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>18</w:t>
            </w:r>
          </w:p>
        </w:tc>
      </w:tr>
      <w:tr w:rsidR="003D427B" w:rsidRPr="00220BEB" w:rsidTr="003D427B">
        <w:trPr>
          <w:gridAfter w:val="1"/>
          <w:wAfter w:w="18" w:type="dxa"/>
        </w:trPr>
        <w:tc>
          <w:tcPr>
            <w:tcW w:w="1170" w:type="dxa"/>
          </w:tcPr>
          <w:p w:rsidR="003D427B" w:rsidRPr="00220BEB" w:rsidRDefault="003D427B" w:rsidP="003D427B">
            <w:pPr>
              <w:jc w:val="center"/>
            </w:pPr>
            <w:r w:rsidRPr="00220BEB">
              <w:t>140-149</w:t>
            </w:r>
          </w:p>
        </w:tc>
        <w:tc>
          <w:tcPr>
            <w:tcW w:w="1107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>19</w:t>
            </w:r>
          </w:p>
        </w:tc>
      </w:tr>
      <w:tr w:rsidR="003D427B" w:rsidRPr="00220BEB" w:rsidTr="003D427B">
        <w:trPr>
          <w:gridAfter w:val="1"/>
          <w:wAfter w:w="18" w:type="dxa"/>
        </w:trPr>
        <w:tc>
          <w:tcPr>
            <w:tcW w:w="1170" w:type="dxa"/>
          </w:tcPr>
          <w:p w:rsidR="003D427B" w:rsidRPr="00220BEB" w:rsidRDefault="003D427B" w:rsidP="003D427B">
            <w:pPr>
              <w:jc w:val="center"/>
            </w:pPr>
            <w:r w:rsidRPr="00220BEB">
              <w:t>150-159</w:t>
            </w:r>
          </w:p>
        </w:tc>
        <w:tc>
          <w:tcPr>
            <w:tcW w:w="1107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>20</w:t>
            </w:r>
          </w:p>
        </w:tc>
      </w:tr>
      <w:tr w:rsidR="003D427B" w:rsidRPr="00220BEB" w:rsidTr="003D427B">
        <w:trPr>
          <w:gridAfter w:val="1"/>
          <w:wAfter w:w="18" w:type="dxa"/>
        </w:trPr>
        <w:tc>
          <w:tcPr>
            <w:tcW w:w="1170" w:type="dxa"/>
          </w:tcPr>
          <w:p w:rsidR="003D427B" w:rsidRPr="00220BEB" w:rsidRDefault="003D427B" w:rsidP="003D427B">
            <w:pPr>
              <w:jc w:val="center"/>
            </w:pPr>
            <w:r w:rsidRPr="00220BEB">
              <w:t>160-169</w:t>
            </w:r>
          </w:p>
        </w:tc>
        <w:tc>
          <w:tcPr>
            <w:tcW w:w="1107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>21</w:t>
            </w:r>
          </w:p>
        </w:tc>
      </w:tr>
      <w:tr w:rsidR="003D427B" w:rsidRPr="00220BEB" w:rsidTr="003D427B">
        <w:trPr>
          <w:gridAfter w:val="1"/>
          <w:wAfter w:w="18" w:type="dxa"/>
        </w:trPr>
        <w:tc>
          <w:tcPr>
            <w:tcW w:w="1170" w:type="dxa"/>
          </w:tcPr>
          <w:p w:rsidR="003D427B" w:rsidRPr="00220BEB" w:rsidRDefault="003D427B" w:rsidP="003D427B">
            <w:pPr>
              <w:jc w:val="center"/>
            </w:pPr>
            <w:r w:rsidRPr="00220BEB">
              <w:t>170-179</w:t>
            </w:r>
          </w:p>
        </w:tc>
        <w:tc>
          <w:tcPr>
            <w:tcW w:w="1107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>22</w:t>
            </w:r>
          </w:p>
        </w:tc>
      </w:tr>
      <w:tr w:rsidR="003D427B" w:rsidRPr="00220BEB" w:rsidTr="003D427B">
        <w:trPr>
          <w:gridAfter w:val="1"/>
          <w:wAfter w:w="18" w:type="dxa"/>
        </w:trPr>
        <w:tc>
          <w:tcPr>
            <w:tcW w:w="1170" w:type="dxa"/>
          </w:tcPr>
          <w:p w:rsidR="003D427B" w:rsidRPr="00220BEB" w:rsidRDefault="003D427B" w:rsidP="003D427B">
            <w:pPr>
              <w:jc w:val="center"/>
            </w:pPr>
            <w:r w:rsidRPr="00220BEB">
              <w:t>180-189</w:t>
            </w:r>
          </w:p>
        </w:tc>
        <w:tc>
          <w:tcPr>
            <w:tcW w:w="1107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>23</w:t>
            </w:r>
          </w:p>
        </w:tc>
      </w:tr>
      <w:tr w:rsidR="003D427B" w:rsidRPr="00220BEB" w:rsidTr="003D427B">
        <w:trPr>
          <w:gridAfter w:val="1"/>
          <w:wAfter w:w="18" w:type="dxa"/>
        </w:trPr>
        <w:tc>
          <w:tcPr>
            <w:tcW w:w="1170" w:type="dxa"/>
          </w:tcPr>
          <w:p w:rsidR="003D427B" w:rsidRPr="00220BEB" w:rsidRDefault="003D427B" w:rsidP="003D427B">
            <w:pPr>
              <w:jc w:val="center"/>
            </w:pPr>
            <w:r w:rsidRPr="00220BEB">
              <w:t>190-199</w:t>
            </w:r>
          </w:p>
        </w:tc>
        <w:tc>
          <w:tcPr>
            <w:tcW w:w="1107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>24</w:t>
            </w:r>
          </w:p>
        </w:tc>
      </w:tr>
      <w:tr w:rsidR="003D427B" w:rsidRPr="00220BEB" w:rsidTr="003D427B">
        <w:trPr>
          <w:gridAfter w:val="1"/>
          <w:wAfter w:w="18" w:type="dxa"/>
        </w:trPr>
        <w:tc>
          <w:tcPr>
            <w:tcW w:w="1170" w:type="dxa"/>
          </w:tcPr>
          <w:p w:rsidR="003D427B" w:rsidRPr="00220BEB" w:rsidRDefault="003D427B" w:rsidP="003D427B">
            <w:pPr>
              <w:jc w:val="center"/>
            </w:pPr>
            <w:r w:rsidRPr="00220BEB">
              <w:t>200-209</w:t>
            </w:r>
          </w:p>
        </w:tc>
        <w:tc>
          <w:tcPr>
            <w:tcW w:w="1107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>25</w:t>
            </w:r>
          </w:p>
        </w:tc>
      </w:tr>
      <w:tr w:rsidR="003D427B" w:rsidRPr="00220BEB" w:rsidTr="003D427B">
        <w:trPr>
          <w:gridAfter w:val="1"/>
          <w:wAfter w:w="18" w:type="dxa"/>
        </w:trPr>
        <w:tc>
          <w:tcPr>
            <w:tcW w:w="1170" w:type="dxa"/>
          </w:tcPr>
          <w:p w:rsidR="003D427B" w:rsidRPr="00220BEB" w:rsidRDefault="003D427B" w:rsidP="003D427B">
            <w:pPr>
              <w:jc w:val="center"/>
            </w:pPr>
            <w:r w:rsidRPr="00220BEB">
              <w:t>210-219</w:t>
            </w:r>
          </w:p>
        </w:tc>
        <w:tc>
          <w:tcPr>
            <w:tcW w:w="1107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>26</w:t>
            </w:r>
          </w:p>
        </w:tc>
      </w:tr>
      <w:tr w:rsidR="003D427B" w:rsidRPr="00220BEB" w:rsidTr="003D427B">
        <w:trPr>
          <w:gridAfter w:val="1"/>
          <w:wAfter w:w="18" w:type="dxa"/>
        </w:trPr>
        <w:tc>
          <w:tcPr>
            <w:tcW w:w="1170" w:type="dxa"/>
          </w:tcPr>
          <w:p w:rsidR="003D427B" w:rsidRPr="00220BEB" w:rsidRDefault="003D427B" w:rsidP="003D427B">
            <w:pPr>
              <w:jc w:val="center"/>
            </w:pPr>
            <w:r w:rsidRPr="00220BEB">
              <w:t>220-229</w:t>
            </w:r>
          </w:p>
        </w:tc>
        <w:tc>
          <w:tcPr>
            <w:tcW w:w="1107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>27</w:t>
            </w:r>
          </w:p>
        </w:tc>
      </w:tr>
      <w:tr w:rsidR="003D427B" w:rsidRPr="00220BEB" w:rsidTr="003D427B">
        <w:trPr>
          <w:gridAfter w:val="1"/>
          <w:wAfter w:w="18" w:type="dxa"/>
        </w:trPr>
        <w:tc>
          <w:tcPr>
            <w:tcW w:w="1170" w:type="dxa"/>
          </w:tcPr>
          <w:p w:rsidR="003D427B" w:rsidRPr="00220BEB" w:rsidRDefault="003D427B" w:rsidP="003D427B">
            <w:pPr>
              <w:jc w:val="center"/>
            </w:pPr>
            <w:r w:rsidRPr="00220BEB">
              <w:t>230-239</w:t>
            </w:r>
          </w:p>
        </w:tc>
        <w:tc>
          <w:tcPr>
            <w:tcW w:w="1107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>28</w:t>
            </w:r>
          </w:p>
        </w:tc>
      </w:tr>
      <w:tr w:rsidR="003D427B" w:rsidRPr="00220BEB" w:rsidTr="003D427B">
        <w:trPr>
          <w:gridAfter w:val="1"/>
          <w:wAfter w:w="18" w:type="dxa"/>
        </w:trPr>
        <w:tc>
          <w:tcPr>
            <w:tcW w:w="1170" w:type="dxa"/>
          </w:tcPr>
          <w:p w:rsidR="003D427B" w:rsidRPr="00220BEB" w:rsidRDefault="003D427B" w:rsidP="003D427B">
            <w:pPr>
              <w:jc w:val="center"/>
            </w:pPr>
            <w:r w:rsidRPr="00220BEB">
              <w:t>240-249</w:t>
            </w:r>
          </w:p>
        </w:tc>
        <w:tc>
          <w:tcPr>
            <w:tcW w:w="1107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>29</w:t>
            </w:r>
          </w:p>
        </w:tc>
      </w:tr>
      <w:tr w:rsidR="003D427B" w:rsidRPr="00220BEB" w:rsidTr="003D427B">
        <w:trPr>
          <w:gridAfter w:val="1"/>
          <w:wAfter w:w="18" w:type="dxa"/>
        </w:trPr>
        <w:tc>
          <w:tcPr>
            <w:tcW w:w="1170" w:type="dxa"/>
          </w:tcPr>
          <w:p w:rsidR="003D427B" w:rsidRPr="00220BEB" w:rsidRDefault="003D427B" w:rsidP="003D427B">
            <w:pPr>
              <w:jc w:val="center"/>
            </w:pPr>
            <w:r w:rsidRPr="00220BEB">
              <w:t>250</w:t>
            </w:r>
            <w:r>
              <w:t>-259</w:t>
            </w:r>
            <w:r w:rsidRPr="00220BEB">
              <w:t xml:space="preserve"> </w:t>
            </w:r>
          </w:p>
        </w:tc>
        <w:tc>
          <w:tcPr>
            <w:tcW w:w="1107" w:type="dxa"/>
            <w:gridSpan w:val="2"/>
          </w:tcPr>
          <w:p w:rsidR="003D427B" w:rsidRPr="00220BEB" w:rsidRDefault="003D427B" w:rsidP="003D427B">
            <w:pPr>
              <w:jc w:val="center"/>
            </w:pPr>
            <w:r w:rsidRPr="00220BEB">
              <w:t>30</w:t>
            </w:r>
          </w:p>
        </w:tc>
      </w:tr>
      <w:tr w:rsidR="003D427B" w:rsidRPr="00220BEB" w:rsidTr="003D427B">
        <w:trPr>
          <w:gridAfter w:val="1"/>
          <w:wAfter w:w="18" w:type="dxa"/>
        </w:trPr>
        <w:tc>
          <w:tcPr>
            <w:tcW w:w="1170" w:type="dxa"/>
          </w:tcPr>
          <w:p w:rsidR="003D427B" w:rsidRPr="00220BEB" w:rsidRDefault="003D427B" w:rsidP="003D427B">
            <w:pPr>
              <w:jc w:val="center"/>
            </w:pPr>
            <w:r>
              <w:t>260-269</w:t>
            </w:r>
          </w:p>
        </w:tc>
        <w:tc>
          <w:tcPr>
            <w:tcW w:w="1107" w:type="dxa"/>
            <w:gridSpan w:val="2"/>
          </w:tcPr>
          <w:p w:rsidR="003D427B" w:rsidRPr="00220BEB" w:rsidRDefault="003D427B" w:rsidP="003D427B">
            <w:pPr>
              <w:jc w:val="center"/>
            </w:pPr>
            <w:r>
              <w:t>31</w:t>
            </w:r>
          </w:p>
        </w:tc>
      </w:tr>
      <w:tr w:rsidR="003D427B" w:rsidRPr="00220BEB" w:rsidTr="003D427B">
        <w:trPr>
          <w:gridAfter w:val="1"/>
          <w:wAfter w:w="18" w:type="dxa"/>
        </w:trPr>
        <w:tc>
          <w:tcPr>
            <w:tcW w:w="1170" w:type="dxa"/>
          </w:tcPr>
          <w:p w:rsidR="003D427B" w:rsidRDefault="003D427B" w:rsidP="003D427B">
            <w:pPr>
              <w:jc w:val="center"/>
            </w:pPr>
            <w:r>
              <w:t>270-279</w:t>
            </w:r>
          </w:p>
        </w:tc>
        <w:tc>
          <w:tcPr>
            <w:tcW w:w="1107" w:type="dxa"/>
            <w:gridSpan w:val="2"/>
          </w:tcPr>
          <w:p w:rsidR="003D427B" w:rsidRDefault="003D427B" w:rsidP="003D427B">
            <w:pPr>
              <w:jc w:val="center"/>
            </w:pPr>
            <w:r>
              <w:t>32</w:t>
            </w:r>
          </w:p>
        </w:tc>
      </w:tr>
      <w:tr w:rsidR="003D427B" w:rsidRPr="00220BEB" w:rsidTr="003D427B">
        <w:trPr>
          <w:gridAfter w:val="1"/>
          <w:wAfter w:w="18" w:type="dxa"/>
        </w:trPr>
        <w:tc>
          <w:tcPr>
            <w:tcW w:w="1170" w:type="dxa"/>
          </w:tcPr>
          <w:p w:rsidR="003D427B" w:rsidRDefault="003D427B" w:rsidP="003D427B">
            <w:pPr>
              <w:jc w:val="center"/>
            </w:pPr>
            <w:r>
              <w:t>280-289</w:t>
            </w:r>
          </w:p>
        </w:tc>
        <w:tc>
          <w:tcPr>
            <w:tcW w:w="1107" w:type="dxa"/>
            <w:gridSpan w:val="2"/>
          </w:tcPr>
          <w:p w:rsidR="003D427B" w:rsidRDefault="003D427B" w:rsidP="003D427B">
            <w:pPr>
              <w:jc w:val="center"/>
            </w:pPr>
            <w:r>
              <w:t>33</w:t>
            </w:r>
          </w:p>
        </w:tc>
      </w:tr>
      <w:tr w:rsidR="003D427B" w:rsidRPr="00220BEB" w:rsidTr="003D427B">
        <w:trPr>
          <w:gridAfter w:val="1"/>
          <w:wAfter w:w="18" w:type="dxa"/>
        </w:trPr>
        <w:tc>
          <w:tcPr>
            <w:tcW w:w="1170" w:type="dxa"/>
          </w:tcPr>
          <w:p w:rsidR="003D427B" w:rsidRDefault="003D427B" w:rsidP="003D427B">
            <w:pPr>
              <w:jc w:val="center"/>
            </w:pPr>
            <w:r>
              <w:t>290-299</w:t>
            </w:r>
          </w:p>
        </w:tc>
        <w:tc>
          <w:tcPr>
            <w:tcW w:w="1107" w:type="dxa"/>
            <w:gridSpan w:val="2"/>
          </w:tcPr>
          <w:p w:rsidR="003D427B" w:rsidRDefault="003D427B" w:rsidP="003D427B">
            <w:pPr>
              <w:jc w:val="center"/>
            </w:pPr>
            <w:r>
              <w:t>34</w:t>
            </w:r>
          </w:p>
        </w:tc>
      </w:tr>
      <w:tr w:rsidR="003D427B" w:rsidRPr="00220BEB" w:rsidTr="003D427B">
        <w:trPr>
          <w:gridAfter w:val="1"/>
          <w:wAfter w:w="18" w:type="dxa"/>
        </w:trPr>
        <w:tc>
          <w:tcPr>
            <w:tcW w:w="1170" w:type="dxa"/>
          </w:tcPr>
          <w:p w:rsidR="003D427B" w:rsidRDefault="003D427B" w:rsidP="003D427B">
            <w:pPr>
              <w:jc w:val="center"/>
            </w:pPr>
            <w:r>
              <w:t>300-309</w:t>
            </w:r>
          </w:p>
        </w:tc>
        <w:tc>
          <w:tcPr>
            <w:tcW w:w="1107" w:type="dxa"/>
            <w:gridSpan w:val="2"/>
          </w:tcPr>
          <w:p w:rsidR="003D427B" w:rsidRDefault="003D427B" w:rsidP="003D427B">
            <w:pPr>
              <w:jc w:val="center"/>
            </w:pPr>
            <w:r>
              <w:t>35</w:t>
            </w:r>
          </w:p>
        </w:tc>
      </w:tr>
      <w:tr w:rsidR="003D427B" w:rsidRPr="00220BEB" w:rsidTr="003D427B">
        <w:trPr>
          <w:gridAfter w:val="1"/>
          <w:wAfter w:w="18" w:type="dxa"/>
        </w:trPr>
        <w:tc>
          <w:tcPr>
            <w:tcW w:w="1170" w:type="dxa"/>
          </w:tcPr>
          <w:p w:rsidR="003D427B" w:rsidRDefault="003D427B" w:rsidP="003D427B">
            <w:pPr>
              <w:jc w:val="center"/>
            </w:pPr>
            <w:r>
              <w:t>310-319</w:t>
            </w:r>
          </w:p>
        </w:tc>
        <w:tc>
          <w:tcPr>
            <w:tcW w:w="1107" w:type="dxa"/>
            <w:gridSpan w:val="2"/>
          </w:tcPr>
          <w:p w:rsidR="003D427B" w:rsidRDefault="003D427B" w:rsidP="003D427B">
            <w:pPr>
              <w:jc w:val="center"/>
            </w:pPr>
            <w:r>
              <w:t>36</w:t>
            </w:r>
          </w:p>
        </w:tc>
      </w:tr>
      <w:tr w:rsidR="003D427B" w:rsidRPr="00220BEB" w:rsidTr="003D427B">
        <w:trPr>
          <w:gridAfter w:val="1"/>
          <w:wAfter w:w="18" w:type="dxa"/>
        </w:trPr>
        <w:tc>
          <w:tcPr>
            <w:tcW w:w="1170" w:type="dxa"/>
          </w:tcPr>
          <w:p w:rsidR="003D427B" w:rsidRDefault="003D427B" w:rsidP="003D427B">
            <w:pPr>
              <w:jc w:val="center"/>
            </w:pPr>
            <w:r>
              <w:t>320-329</w:t>
            </w:r>
          </w:p>
        </w:tc>
        <w:tc>
          <w:tcPr>
            <w:tcW w:w="1107" w:type="dxa"/>
            <w:gridSpan w:val="2"/>
          </w:tcPr>
          <w:p w:rsidR="003D427B" w:rsidRDefault="003D427B" w:rsidP="003D427B">
            <w:pPr>
              <w:jc w:val="center"/>
            </w:pPr>
            <w:r>
              <w:t>37</w:t>
            </w:r>
          </w:p>
        </w:tc>
      </w:tr>
      <w:tr w:rsidR="003D427B" w:rsidRPr="00220BEB" w:rsidTr="003D427B">
        <w:trPr>
          <w:gridAfter w:val="1"/>
          <w:wAfter w:w="18" w:type="dxa"/>
        </w:trPr>
        <w:tc>
          <w:tcPr>
            <w:tcW w:w="1170" w:type="dxa"/>
          </w:tcPr>
          <w:p w:rsidR="003D427B" w:rsidRDefault="003D427B" w:rsidP="003D427B">
            <w:pPr>
              <w:jc w:val="center"/>
            </w:pPr>
            <w:r>
              <w:t>330-339</w:t>
            </w:r>
          </w:p>
        </w:tc>
        <w:tc>
          <w:tcPr>
            <w:tcW w:w="1107" w:type="dxa"/>
            <w:gridSpan w:val="2"/>
          </w:tcPr>
          <w:p w:rsidR="003D427B" w:rsidRDefault="003D427B" w:rsidP="003D427B">
            <w:pPr>
              <w:jc w:val="center"/>
            </w:pPr>
            <w:r>
              <w:t>38</w:t>
            </w:r>
          </w:p>
        </w:tc>
      </w:tr>
      <w:tr w:rsidR="003D427B" w:rsidRPr="00220BEB" w:rsidTr="003D427B">
        <w:trPr>
          <w:gridAfter w:val="1"/>
          <w:wAfter w:w="18" w:type="dxa"/>
        </w:trPr>
        <w:tc>
          <w:tcPr>
            <w:tcW w:w="1170" w:type="dxa"/>
          </w:tcPr>
          <w:p w:rsidR="003D427B" w:rsidRDefault="003D427B" w:rsidP="003D427B">
            <w:pPr>
              <w:jc w:val="center"/>
            </w:pPr>
            <w:r>
              <w:t>340-349</w:t>
            </w:r>
          </w:p>
        </w:tc>
        <w:tc>
          <w:tcPr>
            <w:tcW w:w="1107" w:type="dxa"/>
            <w:gridSpan w:val="2"/>
          </w:tcPr>
          <w:p w:rsidR="003D427B" w:rsidRDefault="003D427B" w:rsidP="003D427B">
            <w:pPr>
              <w:jc w:val="center"/>
            </w:pPr>
            <w:r>
              <w:t>39</w:t>
            </w:r>
          </w:p>
        </w:tc>
      </w:tr>
      <w:tr w:rsidR="003D427B" w:rsidRPr="00220BEB" w:rsidTr="003D427B">
        <w:trPr>
          <w:gridAfter w:val="1"/>
          <w:wAfter w:w="18" w:type="dxa"/>
        </w:trPr>
        <w:tc>
          <w:tcPr>
            <w:tcW w:w="1170" w:type="dxa"/>
          </w:tcPr>
          <w:p w:rsidR="003D427B" w:rsidRDefault="009E7178" w:rsidP="003D427B">
            <w:pPr>
              <w:jc w:val="center"/>
            </w:pPr>
            <w:r>
              <w:t>350+</w:t>
            </w:r>
          </w:p>
        </w:tc>
        <w:tc>
          <w:tcPr>
            <w:tcW w:w="1107" w:type="dxa"/>
            <w:gridSpan w:val="2"/>
          </w:tcPr>
          <w:p w:rsidR="003D427B" w:rsidRDefault="003D427B" w:rsidP="003D427B">
            <w:pPr>
              <w:jc w:val="center"/>
            </w:pPr>
            <w:r>
              <w:t>40</w:t>
            </w:r>
          </w:p>
        </w:tc>
      </w:tr>
    </w:tbl>
    <w:p w:rsidR="00564CFE" w:rsidRDefault="00564CFE" w:rsidP="00564CFE">
      <w:pPr>
        <w:rPr>
          <w:sz w:val="24"/>
        </w:rPr>
      </w:pPr>
    </w:p>
    <w:p w:rsidR="00564CFE" w:rsidRDefault="00564CFE" w:rsidP="003D427B"/>
    <w:sectPr w:rsidR="00564CFE" w:rsidSect="00687D88">
      <w:pgSz w:w="12240" w:h="15840"/>
      <w:pgMar w:top="1440" w:right="1800" w:bottom="1440" w:left="1800" w:header="720" w:footer="720" w:gutter="0"/>
      <w:pgBorders>
        <w:top w:val="circlesLines" w:sz="31" w:space="1" w:color="auto"/>
        <w:left w:val="circlesLines" w:sz="31" w:space="4" w:color="auto"/>
        <w:bottom w:val="circlesLines" w:sz="31" w:space="1" w:color="auto"/>
        <w:right w:val="circlesLines" w:sz="31" w:space="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62F2F"/>
    <w:multiLevelType w:val="singleLevel"/>
    <w:tmpl w:val="B3BE2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E1579A0"/>
    <w:multiLevelType w:val="hybridMultilevel"/>
    <w:tmpl w:val="69FA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15D44"/>
    <w:multiLevelType w:val="singleLevel"/>
    <w:tmpl w:val="8D08F2F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564CFE"/>
    <w:rsid w:val="00014091"/>
    <w:rsid w:val="00076058"/>
    <w:rsid w:val="00120F56"/>
    <w:rsid w:val="001F04EA"/>
    <w:rsid w:val="00220BEB"/>
    <w:rsid w:val="00330D3C"/>
    <w:rsid w:val="003746DC"/>
    <w:rsid w:val="003D427B"/>
    <w:rsid w:val="00477366"/>
    <w:rsid w:val="00564CFE"/>
    <w:rsid w:val="005B68B9"/>
    <w:rsid w:val="005C7FC6"/>
    <w:rsid w:val="005D59D7"/>
    <w:rsid w:val="005E6A0B"/>
    <w:rsid w:val="00687D88"/>
    <w:rsid w:val="00723832"/>
    <w:rsid w:val="0078182D"/>
    <w:rsid w:val="00841424"/>
    <w:rsid w:val="00845121"/>
    <w:rsid w:val="008E33D1"/>
    <w:rsid w:val="009353D0"/>
    <w:rsid w:val="009714FB"/>
    <w:rsid w:val="009A58C1"/>
    <w:rsid w:val="009E47D4"/>
    <w:rsid w:val="009E7178"/>
    <w:rsid w:val="00A50915"/>
    <w:rsid w:val="00AD58BB"/>
    <w:rsid w:val="00AE451B"/>
    <w:rsid w:val="00B817F4"/>
    <w:rsid w:val="00C622FA"/>
    <w:rsid w:val="00CD2A1F"/>
    <w:rsid w:val="00DA3F40"/>
    <w:rsid w:val="00DB4065"/>
    <w:rsid w:val="00E15D2D"/>
    <w:rsid w:val="00E25DB0"/>
    <w:rsid w:val="00E37D9B"/>
    <w:rsid w:val="00EB5BC3"/>
    <w:rsid w:val="00ED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FE"/>
  </w:style>
  <w:style w:type="paragraph" w:styleId="Heading1">
    <w:name w:val="heading 1"/>
    <w:basedOn w:val="Normal"/>
    <w:next w:val="Normal"/>
    <w:link w:val="Heading1Char"/>
    <w:qFormat/>
    <w:rsid w:val="00ED7150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4CFE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564CFE"/>
    <w:pPr>
      <w:jc w:val="center"/>
    </w:pPr>
    <w:rPr>
      <w:sz w:val="24"/>
    </w:rPr>
  </w:style>
  <w:style w:type="paragraph" w:styleId="BodyText">
    <w:name w:val="Body Text"/>
    <w:basedOn w:val="Normal"/>
    <w:rsid w:val="00564CFE"/>
    <w:rPr>
      <w:sz w:val="24"/>
    </w:rPr>
  </w:style>
  <w:style w:type="character" w:customStyle="1" w:styleId="Heading1Char">
    <w:name w:val="Heading 1 Char"/>
    <w:basedOn w:val="DefaultParagraphFont"/>
    <w:link w:val="Heading1"/>
    <w:rsid w:val="00ED7150"/>
    <w:rPr>
      <w:sz w:val="24"/>
    </w:rPr>
  </w:style>
  <w:style w:type="paragraph" w:styleId="ListParagraph">
    <w:name w:val="List Paragraph"/>
    <w:basedOn w:val="Normal"/>
    <w:uiPriority w:val="34"/>
    <w:qFormat/>
    <w:rsid w:val="00120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928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SSR Program</vt:lpstr>
    </vt:vector>
  </TitlesOfParts>
  <Company>RRISD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SSR Program</dc:title>
  <dc:subject/>
  <dc:creator>xpsetup</dc:creator>
  <cp:keywords/>
  <dc:description/>
  <cp:lastModifiedBy>blagomarsino</cp:lastModifiedBy>
  <cp:revision>3</cp:revision>
  <cp:lastPrinted>2012-08-21T17:58:00Z</cp:lastPrinted>
  <dcterms:created xsi:type="dcterms:W3CDTF">2012-08-21T17:56:00Z</dcterms:created>
  <dcterms:modified xsi:type="dcterms:W3CDTF">2012-08-21T18:01:00Z</dcterms:modified>
</cp:coreProperties>
</file>